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预算单位采购贫困地区农副产品预留份额情况表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                                             填报日期：</w:t>
      </w:r>
    </w:p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851"/>
        <w:gridCol w:w="1843"/>
        <w:gridCol w:w="2126"/>
        <w:gridCol w:w="1134"/>
        <w:gridCol w:w="1275"/>
        <w:gridCol w:w="993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上级单位名称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预算级次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年度农副产品采购额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拟预留比例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固话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联系人手机号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注：1.请准确填写所属各级预算单位的名称、上级单位名称、统一社会信用代码，注明联系人和联系人的固定电话和手机号码。</w:t>
      </w:r>
    </w:p>
    <w:p>
      <w:pPr>
        <w:spacing w:line="4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2.“上级单位”是指该单位的直属上级单位。如</w:t>
      </w:r>
      <w:r>
        <w:rPr>
          <w:rFonts w:hint="eastAsia" w:asciiTheme="minorEastAsia" w:hAnsiTheme="minorEastAsia"/>
          <w:szCs w:val="21"/>
          <w:lang w:val="en-US" w:eastAsia="zh-CN"/>
        </w:rPr>
        <w:t>国家粮食和物资储备局北京局</w:t>
      </w:r>
      <w:r>
        <w:rPr>
          <w:rFonts w:hint="eastAsia" w:asciiTheme="minorEastAsia" w:hAnsiTheme="minorEastAsia"/>
          <w:szCs w:val="21"/>
        </w:rPr>
        <w:t>的上级单位是</w:t>
      </w:r>
      <w:r>
        <w:rPr>
          <w:rFonts w:hint="eastAsia" w:asciiTheme="minorEastAsia" w:hAnsiTheme="minorEastAsia"/>
          <w:szCs w:val="21"/>
          <w:lang w:val="en-US" w:eastAsia="zh-CN"/>
        </w:rPr>
        <w:t>国家粮食和物资储备局</w:t>
      </w:r>
      <w:r>
        <w:rPr>
          <w:rFonts w:hint="eastAsia" w:asciiTheme="minorEastAsia" w:hAnsiTheme="minorEastAsia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6838" w:h="11907" w:orient="landscape"/>
      <w:pgMar w:top="2098" w:right="1531" w:bottom="1531" w:left="1531" w:header="851" w:footer="992" w:gutter="0"/>
      <w:pgNumType w:fmt="numberInDash"/>
      <w:cols w:space="425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66F0"/>
    <w:rsid w:val="4D3C66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2019-10-09T10:50:00Z</dcterms:created>
  <dc:creator>hui</dc:creator>
  <cp:lastModifiedBy>hui</cp:lastModifiedBy>
  <dcterms:modified xsi:type="dcterms:W3CDTF">2019-10-09T10:50:33Z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